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13"/>
        <w:tblW w:w="10200" w:type="dxa"/>
        <w:tblLayout w:type="fixed"/>
        <w:tblLook w:val="04A0" w:firstRow="1" w:lastRow="0" w:firstColumn="1" w:lastColumn="0" w:noHBand="0" w:noVBand="1"/>
      </w:tblPr>
      <w:tblGrid>
        <w:gridCol w:w="3831"/>
        <w:gridCol w:w="6369"/>
      </w:tblGrid>
      <w:tr w:rsidR="003A372F" w:rsidTr="003A372F">
        <w:trPr>
          <w:trHeight w:val="947"/>
        </w:trPr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372F" w:rsidRDefault="003A372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352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45pt;height:43.4pt" o:ole="">
                  <v:imagedata r:id="rId5" o:title=""/>
                </v:shape>
                <o:OLEObject Type="Embed" ProgID="PBrush" ShapeID="_x0000_i1025" DrawAspect="Content" ObjectID="_1615299504" r:id="rId6"/>
              </w:object>
            </w:r>
          </w:p>
        </w:tc>
        <w:tc>
          <w:tcPr>
            <w:tcW w:w="63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372F" w:rsidRDefault="003A372F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ОТДЕЛЕНИЕ ЛУЧЕВОЙ ДИАГНОСТИКИ</w:t>
            </w:r>
          </w:p>
          <w:p w:rsidR="003A372F" w:rsidRDefault="003A37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КАБИНЕТ МАГНИТНО-РЕЗОНАНСНОЙ ТОМОГРАФИИ</w:t>
            </w:r>
          </w:p>
        </w:tc>
      </w:tr>
    </w:tbl>
    <w:p w:rsidR="003A372F" w:rsidRDefault="003A372F" w:rsidP="003A372F">
      <w:pPr>
        <w:pBdr>
          <w:bottom w:val="single" w:sz="12" w:space="1" w:color="auto"/>
        </w:pBdr>
        <w:shd w:val="clear" w:color="auto" w:fill="FFFFFF"/>
        <w:spacing w:line="360" w:lineRule="auto"/>
        <w:jc w:val="center"/>
        <w:rPr>
          <w:rFonts w:ascii="Arial" w:hAnsi="Arial" w:cs="Arial"/>
          <w:color w:val="808080"/>
          <w:sz w:val="2"/>
          <w:szCs w:val="2"/>
        </w:rPr>
      </w:pPr>
    </w:p>
    <w:p w:rsidR="003A372F" w:rsidRDefault="003A372F" w:rsidP="003A372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Arial" w:hAnsi="Arial" w:cs="Arial"/>
          <w:sz w:val="16"/>
          <w:szCs w:val="16"/>
          <w:lang w:val="en-US"/>
        </w:rPr>
        <w:t>www</w:t>
      </w:r>
      <w:r>
        <w:rPr>
          <w:rFonts w:ascii="Arial" w:hAnsi="Arial" w:cs="Arial"/>
          <w:sz w:val="16"/>
          <w:szCs w:val="16"/>
        </w:rPr>
        <w:t>.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abc</w:t>
      </w:r>
      <w:proofErr w:type="spellEnd"/>
      <w:r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medicina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  <w:lang w:val="en-US"/>
        </w:rPr>
        <w:t>com</w:t>
      </w:r>
      <w:r>
        <w:rPr>
          <w:rFonts w:ascii="Arial" w:hAnsi="Arial" w:cs="Arial"/>
          <w:sz w:val="16"/>
          <w:szCs w:val="16"/>
        </w:rPr>
        <w:t xml:space="preserve">     г. Москва, ст.</w:t>
      </w:r>
      <w:proofErr w:type="gramEnd"/>
      <w:r>
        <w:rPr>
          <w:rFonts w:ascii="Arial" w:hAnsi="Arial" w:cs="Arial"/>
          <w:sz w:val="16"/>
          <w:szCs w:val="16"/>
        </w:rPr>
        <w:t xml:space="preserve"> метро «Парк культуры», ул. Льва Толстого, дом 10, стр. 1.  Тел.: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(495) 223 38 83</w:t>
      </w:r>
    </w:p>
    <w:p w:rsidR="003A372F" w:rsidRDefault="003A372F" w:rsidP="003A372F">
      <w:pPr>
        <w:suppressAutoHyphens w:val="0"/>
        <w:jc w:val="center"/>
        <w:rPr>
          <w:rFonts w:ascii="Calibri" w:hAnsi="Calibri" w:cs="Calibri"/>
          <w:sz w:val="32"/>
          <w:szCs w:val="32"/>
          <w:lang w:eastAsia="ru-RU"/>
        </w:rPr>
      </w:pPr>
    </w:p>
    <w:p w:rsidR="003A372F" w:rsidRDefault="003A372F" w:rsidP="003A372F">
      <w:pPr>
        <w:suppressAutoHyphens w:val="0"/>
        <w:jc w:val="center"/>
        <w:rPr>
          <w:rFonts w:ascii="Calibri" w:hAnsi="Calibri" w:cs="Calibri"/>
          <w:sz w:val="32"/>
          <w:szCs w:val="32"/>
          <w:lang w:eastAsia="ru-RU"/>
        </w:rPr>
      </w:pPr>
      <w:r>
        <w:rPr>
          <w:rFonts w:ascii="Calibri" w:hAnsi="Calibri" w:cs="Calibri"/>
          <w:sz w:val="32"/>
          <w:szCs w:val="32"/>
          <w:lang w:eastAsia="ru-RU"/>
        </w:rPr>
        <w:t>МАГНИТНО-РЕЗОНАНСНАЯ ТОМОГРАФИЯ</w:t>
      </w:r>
    </w:p>
    <w:p w:rsidR="003A372F" w:rsidRDefault="003A372F" w:rsidP="003A372F">
      <w:pPr>
        <w:suppressAutoHyphens w:val="0"/>
        <w:jc w:val="center"/>
        <w:rPr>
          <w:rFonts w:ascii="Calibri" w:hAnsi="Calibri" w:cs="Calibri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374015</wp:posOffset>
                </wp:positionV>
                <wp:extent cx="6861175" cy="12065"/>
                <wp:effectExtent l="19050" t="19050" r="1587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12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9.45pt" to="536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" strokeweight="2.25pt"/>
            </w:pict>
          </mc:Fallback>
        </mc:AlternateContent>
      </w:r>
      <w:r>
        <w:rPr>
          <w:rFonts w:ascii="Calibri" w:hAnsi="Calibri" w:cs="Calibri"/>
          <w:sz w:val="32"/>
          <w:szCs w:val="32"/>
          <w:lang w:eastAsia="ru-RU"/>
        </w:rPr>
        <w:t>(</w:t>
      </w:r>
      <w:r>
        <w:rPr>
          <w:rFonts w:ascii="Calibri" w:hAnsi="Calibri" w:cs="Calibri"/>
          <w:sz w:val="32"/>
          <w:szCs w:val="32"/>
          <w:lang w:val="en-US" w:eastAsia="ru-RU"/>
        </w:rPr>
        <w:t>Philips</w:t>
      </w:r>
      <w:r w:rsidRPr="003A372F">
        <w:rPr>
          <w:rFonts w:ascii="Calibri" w:hAnsi="Calibri" w:cs="Calibri"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 w:eastAsia="ru-RU"/>
        </w:rPr>
        <w:t>Achieva</w:t>
      </w:r>
      <w:proofErr w:type="spellEnd"/>
      <w:r>
        <w:rPr>
          <w:rFonts w:ascii="Calibri" w:hAnsi="Calibri" w:cs="Calibri"/>
          <w:sz w:val="32"/>
          <w:szCs w:val="32"/>
          <w:lang w:eastAsia="ru-RU"/>
        </w:rPr>
        <w:t xml:space="preserve"> 1.5 Тл)</w:t>
      </w:r>
    </w:p>
    <w:p w:rsidR="003A372F" w:rsidRDefault="003A372F" w:rsidP="003A372F">
      <w:pPr>
        <w:suppressAutoHyphens w:val="0"/>
        <w:rPr>
          <w:rFonts w:ascii="Calibri" w:hAnsi="Calibri" w:cs="Calibri"/>
          <w:szCs w:val="24"/>
          <w:lang w:eastAsia="ru-RU"/>
        </w:rPr>
      </w:pPr>
    </w:p>
    <w:tbl>
      <w:tblPr>
        <w:tblpPr w:leftFromText="180" w:rightFromText="180" w:bottomFromText="200" w:vertAnchor="text" w:horzAnchor="page" w:tblpX="1137" w:tblpY="-19"/>
        <w:tblW w:w="10204" w:type="dxa"/>
        <w:tblLook w:val="01E0" w:firstRow="1" w:lastRow="1" w:firstColumn="1" w:lastColumn="1" w:noHBand="0" w:noVBand="0"/>
      </w:tblPr>
      <w:tblGrid>
        <w:gridCol w:w="9538"/>
        <w:gridCol w:w="666"/>
      </w:tblGrid>
      <w:tr w:rsidR="003A372F" w:rsidTr="003A372F">
        <w:trPr>
          <w:trHeight w:val="20"/>
        </w:trPr>
        <w:tc>
          <w:tcPr>
            <w:tcW w:w="9538" w:type="dxa"/>
            <w:hideMark/>
          </w:tcPr>
          <w:tbl>
            <w:tblPr>
              <w:tblpPr w:leftFromText="180" w:rightFromText="180" w:bottomFromText="200" w:vertAnchor="text" w:horzAnchor="page" w:tblpX="190" w:tblpY="47"/>
              <w:tblOverlap w:val="never"/>
              <w:tblW w:w="9322" w:type="dxa"/>
              <w:tblLook w:val="01E0" w:firstRow="1" w:lastRow="1" w:firstColumn="1" w:lastColumn="1" w:noHBand="0" w:noVBand="0"/>
            </w:tblPr>
            <w:tblGrid>
              <w:gridCol w:w="3348"/>
              <w:gridCol w:w="2572"/>
              <w:gridCol w:w="1372"/>
              <w:gridCol w:w="2030"/>
            </w:tblGrid>
            <w:tr w:rsidR="003A372F">
              <w:trPr>
                <w:trHeight w:val="252"/>
              </w:trPr>
              <w:tc>
                <w:tcPr>
                  <w:tcW w:w="3348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i/>
                      <w:szCs w:val="24"/>
                      <w:lang w:eastAsia="ru-RU"/>
                    </w:rPr>
                  </w:pPr>
                  <w:bookmarkStart w:id="0" w:name="bmSexEnd" w:colFirst="1" w:colLast="1"/>
                  <w:bookmarkStart w:id="1" w:name="bmZaklSt"/>
                  <w:bookmarkEnd w:id="1"/>
                  <w:r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  <w:t>Ф.И.О. пациента:</w:t>
                  </w:r>
                  <w:r>
                    <w:rPr>
                      <w:rFonts w:ascii="Arial Narrow" w:hAnsi="Arial Narrow" w:cs="Calibri"/>
                      <w:i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  <w:bookmarkStart w:id="2" w:name="bmPacientSt"/>
                  <w:bookmarkStart w:id="3" w:name="bmPacientEnd"/>
                  <w:bookmarkStart w:id="4" w:name="bmSexSt"/>
                  <w:bookmarkEnd w:id="2"/>
                  <w:bookmarkEnd w:id="3"/>
                  <w:bookmarkEnd w:id="4"/>
                  <w:r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  <w:t>Давыдов П.В.</w:t>
                  </w:r>
                </w:p>
              </w:tc>
            </w:tr>
            <w:bookmarkEnd w:id="0"/>
            <w:tr w:rsidR="003A372F">
              <w:trPr>
                <w:trHeight w:val="20"/>
              </w:trPr>
              <w:tc>
                <w:tcPr>
                  <w:tcW w:w="3348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  <w:t xml:space="preserve">Год рождения: </w:t>
                  </w:r>
                </w:p>
              </w:tc>
              <w:tc>
                <w:tcPr>
                  <w:tcW w:w="5974" w:type="dxa"/>
                  <w:gridSpan w:val="3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szCs w:val="24"/>
                      <w:lang w:eastAsia="ru-RU"/>
                    </w:rPr>
                  </w:pPr>
                  <w:bookmarkStart w:id="5" w:name="bmYearSt"/>
                  <w:bookmarkStart w:id="6" w:name="bmYearEnd"/>
                  <w:bookmarkStart w:id="7" w:name="bmDateSt"/>
                  <w:bookmarkEnd w:id="5"/>
                  <w:bookmarkEnd w:id="6"/>
                  <w:bookmarkEnd w:id="7"/>
                  <w:r>
                    <w:rPr>
                      <w:rFonts w:ascii="Arial Narrow" w:hAnsi="Arial Narrow" w:cs="Calibri"/>
                      <w:szCs w:val="24"/>
                      <w:lang w:eastAsia="ru-RU"/>
                    </w:rPr>
                    <w:t>1977</w:t>
                  </w:r>
                </w:p>
              </w:tc>
            </w:tr>
            <w:tr w:rsidR="003A372F">
              <w:trPr>
                <w:trHeight w:val="309"/>
              </w:trPr>
              <w:tc>
                <w:tcPr>
                  <w:tcW w:w="3348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  <w:t>Дата исследования:</w:t>
                  </w:r>
                </w:p>
              </w:tc>
              <w:tc>
                <w:tcPr>
                  <w:tcW w:w="2572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  <w:t>28.03</w:t>
                  </w:r>
                  <w:r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  <w:t>.2019</w:t>
                  </w:r>
                </w:p>
              </w:tc>
              <w:tc>
                <w:tcPr>
                  <w:tcW w:w="1372" w:type="dxa"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2030" w:type="dxa"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</w:p>
              </w:tc>
            </w:tr>
            <w:tr w:rsidR="003A372F">
              <w:trPr>
                <w:trHeight w:val="20"/>
              </w:trPr>
              <w:tc>
                <w:tcPr>
                  <w:tcW w:w="3348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ind w:left="-142" w:firstLine="142"/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  <w:t xml:space="preserve">№ амбулаторной карты: </w:t>
                  </w:r>
                </w:p>
              </w:tc>
              <w:tc>
                <w:tcPr>
                  <w:tcW w:w="2572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  <w:bookmarkStart w:id="8" w:name="bmCodeSt"/>
                  <w:bookmarkEnd w:id="8"/>
                  <w:r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  <w:t>134649</w:t>
                  </w:r>
                </w:p>
              </w:tc>
              <w:tc>
                <w:tcPr>
                  <w:tcW w:w="1372" w:type="dxa"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  <w:bookmarkStart w:id="9" w:name="bmCodeEnd"/>
                  <w:bookmarkEnd w:id="9"/>
                </w:p>
              </w:tc>
              <w:tc>
                <w:tcPr>
                  <w:tcW w:w="2030" w:type="dxa"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</w:p>
              </w:tc>
            </w:tr>
            <w:tr w:rsidR="003A372F">
              <w:trPr>
                <w:trHeight w:val="339"/>
              </w:trPr>
              <w:tc>
                <w:tcPr>
                  <w:tcW w:w="3348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  <w:t xml:space="preserve">Контрастное усиление: </w:t>
                  </w:r>
                </w:p>
              </w:tc>
              <w:tc>
                <w:tcPr>
                  <w:tcW w:w="5974" w:type="dxa"/>
                  <w:gridSpan w:val="3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Calibri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A372F">
              <w:trPr>
                <w:trHeight w:val="20"/>
              </w:trPr>
              <w:tc>
                <w:tcPr>
                  <w:tcW w:w="3348" w:type="dxa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b/>
                      <w:szCs w:val="24"/>
                      <w:lang w:eastAsia="ru-RU"/>
                    </w:rPr>
                    <w:t>Зона исследования:</w:t>
                  </w:r>
                </w:p>
              </w:tc>
              <w:tc>
                <w:tcPr>
                  <w:tcW w:w="5974" w:type="dxa"/>
                  <w:gridSpan w:val="3"/>
                  <w:hideMark/>
                </w:tcPr>
                <w:p w:rsidR="003A372F" w:rsidRDefault="003A372F">
                  <w:pPr>
                    <w:suppressAutoHyphens w:val="0"/>
                    <w:spacing w:line="276" w:lineRule="auto"/>
                    <w:rPr>
                      <w:rFonts w:ascii="Arial Narrow" w:hAnsi="Arial Narrow" w:cs="Calibri"/>
                      <w:b/>
                      <w:szCs w:val="24"/>
                      <w:lang w:eastAsia="ru-RU"/>
                    </w:rPr>
                  </w:pPr>
                  <w:bookmarkStart w:id="10" w:name="bmDoctorSt"/>
                  <w:bookmarkEnd w:id="10"/>
                  <w:r>
                    <w:rPr>
                      <w:rFonts w:ascii="Arial Narrow" w:hAnsi="Arial Narrow" w:cs="Calibri"/>
                      <w:szCs w:val="24"/>
                      <w:lang w:eastAsia="ru-RU"/>
                    </w:rPr>
                    <w:t>Правый плечевой сустав</w:t>
                  </w:r>
                </w:p>
              </w:tc>
            </w:tr>
          </w:tbl>
          <w:p w:rsidR="003A372F" w:rsidRDefault="003A372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6" w:type="dxa"/>
          </w:tcPr>
          <w:p w:rsidR="003A372F" w:rsidRDefault="003A372F">
            <w:pPr>
              <w:suppressAutoHyphens w:val="0"/>
              <w:spacing w:line="276" w:lineRule="auto"/>
              <w:rPr>
                <w:rFonts w:ascii="Arial Narrow" w:hAnsi="Arial Narrow" w:cs="Arial"/>
                <w:b/>
                <w:szCs w:val="24"/>
                <w:lang w:eastAsia="ru-RU"/>
              </w:rPr>
            </w:pPr>
          </w:p>
        </w:tc>
      </w:tr>
    </w:tbl>
    <w:p w:rsidR="003A372F" w:rsidRDefault="003A372F" w:rsidP="003A372F">
      <w:pPr>
        <w:suppressAutoHyphens w:val="0"/>
        <w:ind w:firstLine="567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szCs w:val="24"/>
        </w:rPr>
        <w:t>Протокол:</w:t>
      </w:r>
      <w:r>
        <w:rPr>
          <w:rFonts w:ascii="Arial Narrow" w:hAnsi="Arial Narrow" w:cs="Arial"/>
          <w:szCs w:val="24"/>
        </w:rPr>
        <w:t xml:space="preserve"> </w:t>
      </w:r>
    </w:p>
    <w:p w:rsidR="003A372F" w:rsidRDefault="003A372F" w:rsidP="003A372F">
      <w:pPr>
        <w:rPr>
          <w:szCs w:val="24"/>
        </w:rPr>
      </w:pPr>
      <w:proofErr w:type="gramStart"/>
      <w:r>
        <w:rPr>
          <w:szCs w:val="24"/>
        </w:rPr>
        <w:t>На серии  МР-томограмм правого  плечевого сустава,  выполненных в  стандартных  импульсных  последовательностях:</w:t>
      </w:r>
      <w:proofErr w:type="gramEnd"/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Структура диафиза плечевой кости негомогенная (конверсия красного костного мозга в </w:t>
      </w:r>
      <w:proofErr w:type="gramStart"/>
      <w:r>
        <w:rPr>
          <w:szCs w:val="24"/>
        </w:rPr>
        <w:t>жёлтый</w:t>
      </w:r>
      <w:proofErr w:type="gramEnd"/>
      <w:r>
        <w:rPr>
          <w:szCs w:val="24"/>
        </w:rPr>
        <w:t>).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Головка  плечевой  кости  правильной  конфигурации, хорошо сочленяется  с неизмененной суставной впадиной лопатки. Их суставные  поверхности четкие,  ровные. Кортикальный слой </w:t>
      </w:r>
      <w:r>
        <w:rPr>
          <w:szCs w:val="24"/>
        </w:rPr>
        <w:t xml:space="preserve"> не </w:t>
      </w:r>
      <w:r>
        <w:rPr>
          <w:szCs w:val="24"/>
        </w:rPr>
        <w:t>утолще</w:t>
      </w:r>
      <w:r>
        <w:rPr>
          <w:szCs w:val="24"/>
        </w:rPr>
        <w:t xml:space="preserve">н, минимально выражен </w:t>
      </w:r>
      <w:r>
        <w:rPr>
          <w:szCs w:val="24"/>
        </w:rPr>
        <w:t>субхондральный склероз. Краевые  костные  разрастания минимальны, видны по нижнему краю суставной впадины и головки плечевой кости. Ширина суставной щели неравномерно сужена. Суставная поверхность суставной впадины неровная, склерозирована.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Суставная  </w:t>
      </w:r>
      <w:r>
        <w:rPr>
          <w:szCs w:val="24"/>
        </w:rPr>
        <w:t>губа без</w:t>
      </w:r>
      <w:r>
        <w:rPr>
          <w:szCs w:val="24"/>
        </w:rPr>
        <w:t xml:space="preserve"> признак</w:t>
      </w:r>
      <w:r>
        <w:rPr>
          <w:szCs w:val="24"/>
        </w:rPr>
        <w:t>ов повреждения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Корако</w:t>
      </w:r>
      <w:proofErr w:type="spellEnd"/>
      <w:r>
        <w:rPr>
          <w:szCs w:val="24"/>
        </w:rPr>
        <w:t xml:space="preserve">-акромиальная связка </w:t>
      </w:r>
      <w:r>
        <w:rPr>
          <w:szCs w:val="24"/>
        </w:rPr>
        <w:t xml:space="preserve">несколько </w:t>
      </w:r>
      <w:r>
        <w:rPr>
          <w:szCs w:val="24"/>
        </w:rPr>
        <w:t>утолщена, повышенной протонной плотности.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По нижнему краю акромиального конца ключицы определяется краевое костное разрастание. В  полости  сустава  определяется   жидкость в малом количестве.  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Надостная  мышца и ее сухожилие </w:t>
      </w:r>
      <w:proofErr w:type="gramStart"/>
      <w:r>
        <w:rPr>
          <w:szCs w:val="24"/>
        </w:rPr>
        <w:t>расположены</w:t>
      </w:r>
      <w:proofErr w:type="gramEnd"/>
      <w:r>
        <w:rPr>
          <w:szCs w:val="24"/>
        </w:rPr>
        <w:t xml:space="preserve"> обычно. В полости АКС скопление жидкости.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Сухожилие надостной мышцы частично сокращено, утолщено, а в месте прикрепления к головке плечевой кости истончено и неоднородно – МР-сигнал неравномерно  </w:t>
      </w:r>
      <w:proofErr w:type="gramStart"/>
      <w:r>
        <w:rPr>
          <w:szCs w:val="24"/>
        </w:rPr>
        <w:t>повышен</w:t>
      </w:r>
      <w:proofErr w:type="gramEnd"/>
      <w:r>
        <w:rPr>
          <w:szCs w:val="24"/>
        </w:rPr>
        <w:t xml:space="preserve">. Определяется  локальное скопление жидкости по ходу сухожилия, а также в субакромиальной и </w:t>
      </w:r>
      <w:proofErr w:type="spellStart"/>
      <w:r>
        <w:rPr>
          <w:szCs w:val="24"/>
        </w:rPr>
        <w:t>субклювовидной</w:t>
      </w:r>
      <w:proofErr w:type="spellEnd"/>
      <w:r>
        <w:rPr>
          <w:szCs w:val="24"/>
        </w:rPr>
        <w:t xml:space="preserve"> сумках. Расстояние между головкой  плечевой кости и </w:t>
      </w:r>
      <w:proofErr w:type="spellStart"/>
      <w:r>
        <w:rPr>
          <w:szCs w:val="24"/>
        </w:rPr>
        <w:t>акромионом</w:t>
      </w:r>
      <w:proofErr w:type="spellEnd"/>
      <w:r>
        <w:rPr>
          <w:szCs w:val="24"/>
        </w:rPr>
        <w:t xml:space="preserve">  лопатки сокращено до 7,0 мм.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>Сухожилие  двуглавой мышцы плеча  обычно расположено. Во влагалище сухожилия видно скопление жидкости.</w:t>
      </w: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Заключение: Артроз  </w:t>
      </w:r>
      <w:r>
        <w:rPr>
          <w:szCs w:val="24"/>
        </w:rPr>
        <w:t>правого плечевого сустава</w:t>
      </w:r>
      <w:r w:rsidRPr="003A372F">
        <w:rPr>
          <w:szCs w:val="24"/>
        </w:rPr>
        <w:t xml:space="preserve"> </w:t>
      </w:r>
      <w:r>
        <w:rPr>
          <w:szCs w:val="24"/>
          <w:lang w:val="en-US"/>
        </w:rPr>
        <w:t>I</w:t>
      </w:r>
      <w:r w:rsidRPr="003A372F">
        <w:rPr>
          <w:szCs w:val="24"/>
        </w:rPr>
        <w:t>-</w:t>
      </w:r>
      <w:r>
        <w:rPr>
          <w:szCs w:val="24"/>
          <w:lang w:val="en-US"/>
        </w:rPr>
        <w:t>II</w:t>
      </w:r>
      <w:r w:rsidRPr="003A372F">
        <w:rPr>
          <w:szCs w:val="24"/>
        </w:rPr>
        <w:t xml:space="preserve"> </w:t>
      </w:r>
      <w:r>
        <w:rPr>
          <w:szCs w:val="24"/>
        </w:rPr>
        <w:t>ст. Артроз АКС</w:t>
      </w:r>
      <w:r>
        <w:rPr>
          <w:szCs w:val="24"/>
        </w:rPr>
        <w:t xml:space="preserve"> </w:t>
      </w:r>
      <w:r>
        <w:rPr>
          <w:szCs w:val="24"/>
          <w:lang w:val="en-US"/>
        </w:rPr>
        <w:t>II</w:t>
      </w:r>
      <w:r>
        <w:rPr>
          <w:szCs w:val="24"/>
        </w:rPr>
        <w:t xml:space="preserve"> ст. Синовит АКС.  Бурсит. </w:t>
      </w:r>
      <w:proofErr w:type="spellStart"/>
      <w:r>
        <w:rPr>
          <w:szCs w:val="24"/>
        </w:rPr>
        <w:t>Теносиновит</w:t>
      </w:r>
      <w:proofErr w:type="spellEnd"/>
      <w:r>
        <w:rPr>
          <w:szCs w:val="24"/>
        </w:rPr>
        <w:t xml:space="preserve"> длинной головки бицепса, надостной мышцы.</w:t>
      </w:r>
    </w:p>
    <w:p w:rsidR="003A372F" w:rsidRDefault="003A372F" w:rsidP="003A372F">
      <w:pPr>
        <w:rPr>
          <w:szCs w:val="24"/>
        </w:rPr>
      </w:pPr>
    </w:p>
    <w:p w:rsidR="003A372F" w:rsidRDefault="003A372F" w:rsidP="003A372F">
      <w:pPr>
        <w:rPr>
          <w:szCs w:val="24"/>
        </w:rPr>
      </w:pPr>
      <w:r>
        <w:rPr>
          <w:szCs w:val="24"/>
        </w:rPr>
        <w:t xml:space="preserve">Врач-рентгенолог                                                                          </w:t>
      </w:r>
      <w:r>
        <w:rPr>
          <w:szCs w:val="24"/>
        </w:rPr>
        <w:t>Давидович Т.В.</w:t>
      </w:r>
    </w:p>
    <w:p w:rsidR="003A372F" w:rsidRPr="003A372F" w:rsidRDefault="003A372F" w:rsidP="003A372F">
      <w:pPr>
        <w:rPr>
          <w:rFonts w:ascii="Arial Narrow" w:hAnsi="Arial Narrow" w:cs="Arial"/>
          <w:b/>
          <w:szCs w:val="24"/>
        </w:rPr>
      </w:pPr>
    </w:p>
    <w:p w:rsidR="003A372F" w:rsidRPr="003A372F" w:rsidRDefault="003A372F" w:rsidP="003A372F">
      <w:pPr>
        <w:pStyle w:val="a3"/>
        <w:spacing w:line="240" w:lineRule="auto"/>
        <w:ind w:firstLine="567"/>
        <w:rPr>
          <w:rFonts w:ascii="Arial Narrow" w:hAnsi="Arial Narrow" w:cs="Arial"/>
          <w:szCs w:val="24"/>
          <w:lang w:val="ru-RU"/>
        </w:rPr>
      </w:pPr>
      <w:r w:rsidRPr="003A372F">
        <w:rPr>
          <w:rFonts w:ascii="Arial Narrow" w:hAnsi="Arial Narrow" w:cs="Arial"/>
          <w:b/>
          <w:szCs w:val="24"/>
        </w:rPr>
        <w:t>Рекомендации:</w:t>
      </w:r>
      <w:r w:rsidRPr="003A372F">
        <w:rPr>
          <w:rFonts w:ascii="Arial Narrow" w:hAnsi="Arial Narrow" w:cs="Arial"/>
          <w:szCs w:val="24"/>
        </w:rPr>
        <w:t xml:space="preserve"> консультация травматолога</w:t>
      </w:r>
      <w:r w:rsidRPr="003A372F">
        <w:rPr>
          <w:rFonts w:ascii="Arial Narrow" w:hAnsi="Arial Narrow" w:cs="Arial"/>
          <w:szCs w:val="24"/>
          <w:lang w:val="ru-RU"/>
        </w:rPr>
        <w:t>-ортопеда</w:t>
      </w:r>
      <w:r w:rsidRPr="003A372F">
        <w:rPr>
          <w:rFonts w:ascii="Arial Narrow" w:hAnsi="Arial Narrow" w:cs="Arial"/>
          <w:szCs w:val="24"/>
        </w:rPr>
        <w:t xml:space="preserve">. </w:t>
      </w:r>
    </w:p>
    <w:p w:rsidR="003A372F" w:rsidRPr="003A372F" w:rsidRDefault="003A372F" w:rsidP="003A372F">
      <w:pPr>
        <w:pStyle w:val="a3"/>
        <w:spacing w:line="240" w:lineRule="auto"/>
        <w:ind w:firstLine="567"/>
        <w:rPr>
          <w:rFonts w:ascii="Arial Narrow" w:hAnsi="Arial Narrow" w:cs="Arial"/>
          <w:szCs w:val="24"/>
          <w:lang w:val="ru-RU"/>
        </w:rPr>
      </w:pPr>
    </w:p>
    <w:p w:rsidR="003A372F" w:rsidRPr="003A372F" w:rsidRDefault="003A372F" w:rsidP="003A372F">
      <w:pPr>
        <w:pStyle w:val="a3"/>
        <w:spacing w:line="240" w:lineRule="auto"/>
        <w:ind w:firstLine="567"/>
        <w:rPr>
          <w:rFonts w:ascii="Arial Narrow" w:hAnsi="Arial Narrow" w:cs="Arial"/>
          <w:i/>
          <w:color w:val="333333"/>
          <w:szCs w:val="24"/>
          <w:lang w:eastAsia="ru-RU"/>
        </w:rPr>
      </w:pPr>
      <w:r w:rsidRPr="003A372F">
        <w:rPr>
          <w:rFonts w:ascii="Arial Narrow" w:hAnsi="Arial Narrow" w:cs="Arial"/>
          <w:i/>
          <w:color w:val="333333"/>
          <w:szCs w:val="24"/>
          <w:lang w:eastAsia="ru-RU"/>
        </w:rPr>
        <w:t>При повторном обращении, для оценки изменений в динамике – при себе иметь протокол и диск с записью исследования.</w:t>
      </w:r>
      <w:r w:rsidRPr="003A372F">
        <w:rPr>
          <w:rFonts w:ascii="Arial Narrow" w:hAnsi="Arial Narrow" w:cs="Arial"/>
          <w:szCs w:val="24"/>
        </w:rPr>
        <w:t xml:space="preserve">                                                                                                         </w:t>
      </w:r>
    </w:p>
    <w:p w:rsidR="003A372F" w:rsidRPr="003A372F" w:rsidRDefault="003A372F" w:rsidP="003A372F">
      <w:pPr>
        <w:ind w:firstLine="567"/>
        <w:rPr>
          <w:rFonts w:ascii="Arial Narrow" w:hAnsi="Arial Narrow" w:cs="Arial"/>
          <w:szCs w:val="24"/>
        </w:rPr>
      </w:pPr>
      <w:bookmarkStart w:id="11" w:name="_GoBack"/>
      <w:bookmarkEnd w:id="11"/>
    </w:p>
    <w:p w:rsidR="003A372F" w:rsidRPr="003A372F" w:rsidRDefault="003A372F" w:rsidP="003A372F">
      <w:pPr>
        <w:ind w:firstLine="567"/>
        <w:rPr>
          <w:rFonts w:ascii="Arial Narrow" w:hAnsi="Arial Narrow"/>
          <w:szCs w:val="24"/>
        </w:rPr>
      </w:pPr>
      <w:r w:rsidRPr="003A372F">
        <w:rPr>
          <w:rFonts w:ascii="Arial Narrow" w:hAnsi="Arial Narrow" w:cs="Arial"/>
          <w:szCs w:val="24"/>
        </w:rPr>
        <w:lastRenderedPageBreak/>
        <w:t>Важно: данное заключение не является клиническим диагнозом и должно оцениваться лечащим врачом с учётом клинических, лабораторных данных и данных других инструментальных методов обследования.</w:t>
      </w:r>
    </w:p>
    <w:p w:rsidR="008E2316" w:rsidRDefault="008E2316"/>
    <w:sectPr w:rsidR="008E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2F"/>
    <w:rsid w:val="003A372F"/>
    <w:rsid w:val="008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72F"/>
    <w:pPr>
      <w:tabs>
        <w:tab w:val="left" w:pos="0"/>
      </w:tabs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3A372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372F"/>
    <w:pPr>
      <w:tabs>
        <w:tab w:val="left" w:pos="0"/>
      </w:tabs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3A372F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2019-03-28T14:31:00Z</cp:lastPrinted>
  <dcterms:created xsi:type="dcterms:W3CDTF">2019-03-28T14:26:00Z</dcterms:created>
  <dcterms:modified xsi:type="dcterms:W3CDTF">2019-03-28T14:32:00Z</dcterms:modified>
</cp:coreProperties>
</file>